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F6E25C">
      <w:pPr>
        <w:jc w:val="left"/>
        <w:rPr>
          <w:rFonts w:hint="eastAsia" w:ascii="黑体" w:hAnsi="黑体" w:eastAsia="黑体" w:cs="黑体"/>
          <w:sz w:val="36"/>
          <w:szCs w:val="36"/>
          <w:lang w:eastAsia="zh-CN"/>
        </w:rPr>
      </w:pPr>
      <w:bookmarkStart w:id="0" w:name="_Toc1486"/>
      <w:r>
        <w:rPr>
          <w:rFonts w:hint="eastAsia" w:ascii="黑体" w:hAnsi="黑体" w:eastAsia="黑体" w:cs="黑体"/>
          <w:sz w:val="36"/>
          <w:szCs w:val="36"/>
        </w:rPr>
        <w:t>附件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4</w:t>
      </w:r>
      <w:bookmarkStart w:id="15" w:name="_GoBack"/>
      <w:bookmarkEnd w:id="15"/>
      <w:r>
        <w:rPr>
          <w:rFonts w:hint="eastAsia" w:ascii="黑体" w:hAnsi="黑体" w:eastAsia="黑体" w:cs="黑体"/>
          <w:sz w:val="36"/>
          <w:szCs w:val="36"/>
          <w:lang w:eastAsia="zh-CN"/>
        </w:rPr>
        <w:t>：</w:t>
      </w:r>
    </w:p>
    <w:p w14:paraId="38663715">
      <w:pPr>
        <w:jc w:val="left"/>
        <w:rPr>
          <w:rFonts w:hint="default" w:ascii="Times New Roman" w:hAnsi="Times New Roman" w:eastAsia="方正小标宋简体" w:cs="Times New Roman"/>
          <w:sz w:val="36"/>
          <w:szCs w:val="36"/>
        </w:rPr>
      </w:pPr>
    </w:p>
    <w:p w14:paraId="23CE9910">
      <w:pPr>
        <w:snapToGrid w:val="0"/>
        <w:spacing w:line="560" w:lineRule="exact"/>
        <w:jc w:val="center"/>
        <w:rPr>
          <w:rFonts w:hint="eastAsia" w:ascii="方正小标宋简体" w:hAnsi="宋体" w:eastAsia="方正小标宋简体"/>
          <w:sz w:val="40"/>
          <w:szCs w:val="40"/>
        </w:rPr>
      </w:pPr>
      <w:r>
        <w:rPr>
          <w:rFonts w:hint="eastAsia" w:ascii="方正小标宋简体" w:hAnsi="宋体" w:eastAsia="方正小标宋简体"/>
          <w:sz w:val="40"/>
          <w:szCs w:val="40"/>
        </w:rPr>
        <w:t>研究生课程选课审批和辅修</w:t>
      </w:r>
      <w:bookmarkEnd w:id="0"/>
      <w:r>
        <w:rPr>
          <w:rFonts w:hint="eastAsia" w:ascii="方正小标宋简体" w:hAnsi="宋体" w:eastAsia="方正小标宋简体"/>
          <w:sz w:val="40"/>
          <w:szCs w:val="40"/>
        </w:rPr>
        <w:t>课程设置操作指南（院系使用）</w:t>
      </w:r>
    </w:p>
    <w:p w14:paraId="3C3BD795">
      <w:pPr>
        <w:snapToGrid w:val="0"/>
        <w:spacing w:line="560" w:lineRule="exact"/>
        <w:jc w:val="center"/>
        <w:rPr>
          <w:rFonts w:hint="eastAsia" w:ascii="方正小标宋简体" w:hAnsi="宋体" w:eastAsia="方正小标宋简体"/>
          <w:sz w:val="40"/>
          <w:szCs w:val="40"/>
        </w:rPr>
      </w:pPr>
    </w:p>
    <w:sdt>
      <w:sdtPr>
        <w:rPr>
          <w:rFonts w:hint="eastAsia" w:ascii="仿宋_GB2312" w:hAnsi="Times New Roman" w:eastAsia="仿宋_GB2312" w:cs="Times New Roman"/>
          <w:color w:val="auto"/>
          <w:kern w:val="2"/>
          <w:sz w:val="44"/>
          <w:szCs w:val="44"/>
          <w:lang w:val="zh-CN"/>
        </w:rPr>
        <w:id w:val="-929511070"/>
        <w:docPartObj>
          <w:docPartGallery w:val="Table of Contents"/>
          <w:docPartUnique/>
        </w:docPartObj>
      </w:sdtPr>
      <w:sdtEndPr>
        <w:rPr>
          <w:rFonts w:hint="eastAsia" w:ascii="仿宋" w:hAnsi="仿宋" w:eastAsia="仿宋" w:cs="仿宋"/>
          <w:b/>
          <w:bCs/>
          <w:color w:val="auto"/>
          <w:kern w:val="2"/>
          <w:sz w:val="32"/>
          <w:szCs w:val="32"/>
          <w:lang w:val="zh-CN"/>
        </w:rPr>
      </w:sdtEndPr>
      <w:sdtContent>
        <w:p w14:paraId="4AC14E75">
          <w:pPr>
            <w:pStyle w:val="22"/>
            <w:jc w:val="center"/>
            <w:rPr>
              <w:rFonts w:hint="eastAsia" w:ascii="宋体" w:hAnsi="宋体" w:eastAsia="宋体" w:cs="宋体"/>
              <w:b/>
              <w:color w:val="auto"/>
            </w:rPr>
          </w:pPr>
          <w:r>
            <w:rPr>
              <w:rFonts w:hint="eastAsia" w:ascii="宋体" w:hAnsi="宋体" w:eastAsia="宋体" w:cs="宋体"/>
              <w:b/>
              <w:color w:val="auto"/>
              <w:sz w:val="36"/>
              <w:szCs w:val="36"/>
              <w:lang w:val="zh-CN"/>
            </w:rPr>
            <w:t xml:space="preserve">目 </w:t>
          </w:r>
          <w:r>
            <w:rPr>
              <w:rFonts w:hint="eastAsia" w:ascii="宋体" w:hAnsi="宋体" w:eastAsia="宋体" w:cs="宋体"/>
              <w:b/>
              <w:color w:val="auto"/>
              <w:sz w:val="36"/>
              <w:szCs w:val="36"/>
              <w:lang w:val="en-US" w:eastAsia="zh-CN"/>
            </w:rPr>
            <w:t xml:space="preserve"> </w:t>
          </w:r>
          <w:r>
            <w:rPr>
              <w:rFonts w:hint="eastAsia" w:ascii="宋体" w:hAnsi="宋体" w:eastAsia="宋体" w:cs="宋体"/>
              <w:b/>
              <w:color w:val="auto"/>
              <w:sz w:val="36"/>
              <w:szCs w:val="36"/>
              <w:lang w:val="zh-CN"/>
            </w:rPr>
            <w:t>录</w:t>
          </w:r>
        </w:p>
        <w:p w14:paraId="61DD11A9">
          <w:pPr>
            <w:pStyle w:val="10"/>
            <w:tabs>
              <w:tab w:val="right" w:leader="dot" w:pos="8306"/>
            </w:tabs>
            <w:rPr>
              <w:sz w:val="28"/>
              <w:szCs w:val="28"/>
            </w:rPr>
          </w:pPr>
          <w:r>
            <w:rPr>
              <w:rFonts w:hint="eastAsia" w:ascii="仿宋" w:hAnsi="仿宋" w:eastAsia="仿宋" w:cs="仿宋"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sz w:val="28"/>
              <w:szCs w:val="28"/>
            </w:rPr>
            <w:instrText xml:space="preserve"> TOC \o "1-3" \h \z \u </w:instrTex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sz w:val="28"/>
              <w:szCs w:val="28"/>
            </w:rPr>
            <w:instrText xml:space="preserve"> HYPERLINK \l _Toc23733 </w:instrTex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separate"/>
          </w:r>
          <w:r>
            <w:rPr>
              <w:rFonts w:hint="eastAsia"/>
              <w:sz w:val="28"/>
              <w:szCs w:val="28"/>
            </w:rPr>
            <w:t>一、研究生课程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_Toc23733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1</w:t>
          </w:r>
          <w:r>
            <w:rPr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end"/>
          </w:r>
        </w:p>
        <w:p w14:paraId="0FD54224">
          <w:pPr>
            <w:pStyle w:val="10"/>
            <w:tabs>
              <w:tab w:val="right" w:leader="dot" w:pos="8306"/>
            </w:tabs>
            <w:rPr>
              <w:sz w:val="28"/>
              <w:szCs w:val="28"/>
            </w:rPr>
          </w:pP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fldChar w:fldCharType="begin"/>
          </w: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instrText xml:space="preserve"> HYPERLINK \l _Toc17713 </w:instrText>
          </w: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fldChar w:fldCharType="separate"/>
          </w:r>
          <w:r>
            <w:rPr>
              <w:rFonts w:hint="eastAsia"/>
              <w:sz w:val="28"/>
              <w:szCs w:val="28"/>
            </w:rPr>
            <w:t>1．设置研究生课程选课时间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_Toc17713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1</w:t>
          </w:r>
          <w:r>
            <w:rPr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fldChar w:fldCharType="end"/>
          </w:r>
        </w:p>
        <w:p w14:paraId="53BA4A5F">
          <w:pPr>
            <w:pStyle w:val="10"/>
            <w:tabs>
              <w:tab w:val="right" w:leader="dot" w:pos="8306"/>
            </w:tabs>
            <w:rPr>
              <w:sz w:val="28"/>
              <w:szCs w:val="28"/>
            </w:rPr>
          </w:pP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fldChar w:fldCharType="begin"/>
          </w: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instrText xml:space="preserve"> HYPERLINK \l _Toc3929 </w:instrText>
          </w: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fldChar w:fldCharType="separate"/>
          </w:r>
          <w:r>
            <w:rPr>
              <w:rFonts w:hint="eastAsia"/>
              <w:sz w:val="28"/>
              <w:szCs w:val="28"/>
            </w:rPr>
            <w:t>2．研究生课程选课审批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_Toc3929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2</w:t>
          </w:r>
          <w:r>
            <w:rPr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fldChar w:fldCharType="end"/>
          </w:r>
        </w:p>
        <w:p w14:paraId="366F963E">
          <w:pPr>
            <w:pStyle w:val="10"/>
            <w:tabs>
              <w:tab w:val="right" w:leader="dot" w:pos="8306"/>
            </w:tabs>
            <w:rPr>
              <w:sz w:val="28"/>
              <w:szCs w:val="28"/>
            </w:rPr>
          </w:pP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fldChar w:fldCharType="begin"/>
          </w: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instrText xml:space="preserve"> HYPERLINK \l _Toc2300 </w:instrText>
          </w: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fldChar w:fldCharType="separate"/>
          </w:r>
          <w:r>
            <w:rPr>
              <w:rFonts w:hint="eastAsia"/>
              <w:sz w:val="28"/>
              <w:szCs w:val="28"/>
            </w:rPr>
            <w:t>（1）培养方案内课程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_Toc2300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2</w:t>
          </w:r>
          <w:r>
            <w:rPr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fldChar w:fldCharType="end"/>
          </w:r>
        </w:p>
        <w:p w14:paraId="170BB8AF">
          <w:pPr>
            <w:pStyle w:val="10"/>
            <w:tabs>
              <w:tab w:val="right" w:leader="dot" w:pos="8306"/>
            </w:tabs>
            <w:rPr>
              <w:sz w:val="28"/>
              <w:szCs w:val="28"/>
            </w:rPr>
          </w:pP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fldChar w:fldCharType="begin"/>
          </w: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instrText xml:space="preserve"> HYPERLINK \l _Toc10991 </w:instrText>
          </w: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fldChar w:fldCharType="separate"/>
          </w:r>
          <w:r>
            <w:rPr>
              <w:rFonts w:hint="eastAsia"/>
              <w:sz w:val="28"/>
              <w:szCs w:val="28"/>
            </w:rPr>
            <w:t>（2）其他课程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_Toc10991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3</w:t>
          </w:r>
          <w:r>
            <w:rPr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fldChar w:fldCharType="end"/>
          </w:r>
        </w:p>
        <w:p w14:paraId="09768BB2">
          <w:pPr>
            <w:pStyle w:val="11"/>
            <w:tabs>
              <w:tab w:val="right" w:leader="dot" w:pos="8306"/>
            </w:tabs>
            <w:rPr>
              <w:sz w:val="28"/>
              <w:szCs w:val="28"/>
            </w:rPr>
          </w:pP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fldChar w:fldCharType="begin"/>
          </w: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instrText xml:space="preserve"> HYPERLINK \l _Toc4850 </w:instrText>
          </w: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fldChar w:fldCharType="separate"/>
          </w:r>
          <w:r>
            <w:rPr>
              <w:rFonts w:hint="eastAsia"/>
              <w:sz w:val="28"/>
              <w:szCs w:val="28"/>
              <w:lang w:val="en-US" w:eastAsia="zh-CN"/>
            </w:rPr>
            <w:t>①学生申请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_Toc4850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3</w:t>
          </w:r>
          <w:r>
            <w:rPr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fldChar w:fldCharType="end"/>
          </w:r>
        </w:p>
        <w:p w14:paraId="1ECE8EB7">
          <w:pPr>
            <w:pStyle w:val="11"/>
            <w:tabs>
              <w:tab w:val="right" w:leader="dot" w:pos="8306"/>
            </w:tabs>
            <w:rPr>
              <w:sz w:val="28"/>
              <w:szCs w:val="28"/>
            </w:rPr>
          </w:pP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fldChar w:fldCharType="begin"/>
          </w: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instrText xml:space="preserve"> HYPERLINK \l _Toc16899 </w:instrText>
          </w: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fldChar w:fldCharType="separate"/>
          </w:r>
          <w:r>
            <w:rPr>
              <w:rFonts w:hint="eastAsia"/>
              <w:sz w:val="28"/>
              <w:szCs w:val="28"/>
              <w:lang w:val="en-US" w:eastAsia="zh-CN"/>
            </w:rPr>
            <w:t>②学生所在院系审核认定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_Toc16899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3</w:t>
          </w:r>
          <w:r>
            <w:rPr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fldChar w:fldCharType="end"/>
          </w:r>
        </w:p>
        <w:p w14:paraId="40251820">
          <w:pPr>
            <w:pStyle w:val="11"/>
            <w:tabs>
              <w:tab w:val="right" w:leader="dot" w:pos="8306"/>
            </w:tabs>
            <w:rPr>
              <w:sz w:val="28"/>
              <w:szCs w:val="28"/>
            </w:rPr>
          </w:pP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fldChar w:fldCharType="begin"/>
          </w: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instrText xml:space="preserve"> HYPERLINK \l _Toc19824 </w:instrText>
          </w: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fldChar w:fldCharType="separate"/>
          </w:r>
          <w:r>
            <w:rPr>
              <w:rFonts w:hint="eastAsia"/>
              <w:sz w:val="28"/>
              <w:szCs w:val="28"/>
              <w:lang w:val="en-US" w:eastAsia="zh-CN"/>
            </w:rPr>
            <w:t>③研究生课程开课单位审批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_Toc19824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5</w:t>
          </w:r>
          <w:r>
            <w:rPr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fldChar w:fldCharType="end"/>
          </w:r>
        </w:p>
        <w:p w14:paraId="2C96FC66">
          <w:pPr>
            <w:pStyle w:val="10"/>
            <w:tabs>
              <w:tab w:val="right" w:leader="dot" w:pos="8306"/>
            </w:tabs>
            <w:rPr>
              <w:sz w:val="28"/>
              <w:szCs w:val="28"/>
            </w:rPr>
          </w:pP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fldChar w:fldCharType="begin"/>
          </w: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instrText xml:space="preserve"> HYPERLINK \l _Toc14203 </w:instrText>
          </w: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fldChar w:fldCharType="separate"/>
          </w:r>
          <w:r>
            <w:rPr>
              <w:rFonts w:hint="eastAsia"/>
              <w:sz w:val="28"/>
              <w:szCs w:val="28"/>
            </w:rPr>
            <w:t>二、辅修课程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_Toc14203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6</w:t>
          </w:r>
          <w:r>
            <w:rPr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fldChar w:fldCharType="end"/>
          </w:r>
        </w:p>
        <w:p w14:paraId="015A695F">
          <w:pPr>
            <w:pStyle w:val="10"/>
            <w:tabs>
              <w:tab w:val="right" w:leader="dot" w:pos="8306"/>
            </w:tabs>
            <w:rPr>
              <w:sz w:val="28"/>
              <w:szCs w:val="28"/>
            </w:rPr>
          </w:pP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fldChar w:fldCharType="begin"/>
          </w: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instrText xml:space="preserve"> HYPERLINK \l _Toc4566 </w:instrText>
          </w: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fldChar w:fldCharType="separate"/>
          </w:r>
          <w:r>
            <w:rPr>
              <w:rFonts w:hint="eastAsia"/>
              <w:sz w:val="28"/>
              <w:szCs w:val="28"/>
            </w:rPr>
            <w:t>1．在排课中设置辅修选课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_Toc4566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6</w:t>
          </w:r>
          <w:r>
            <w:rPr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fldChar w:fldCharType="end"/>
          </w:r>
        </w:p>
        <w:p w14:paraId="7F915FB3">
          <w:pPr>
            <w:pStyle w:val="10"/>
            <w:tabs>
              <w:tab w:val="right" w:leader="dot" w:pos="8306"/>
            </w:tabs>
            <w:rPr>
              <w:sz w:val="28"/>
              <w:szCs w:val="28"/>
            </w:rPr>
          </w:pP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fldChar w:fldCharType="begin"/>
          </w: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instrText xml:space="preserve"> HYPERLINK \l _Toc16635 </w:instrText>
          </w: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fldChar w:fldCharType="separate"/>
          </w:r>
          <w:r>
            <w:rPr>
              <w:rFonts w:hint="eastAsia"/>
              <w:sz w:val="28"/>
              <w:szCs w:val="28"/>
            </w:rPr>
            <w:t>2．设置辅修选课时间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_Toc16635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6</w:t>
          </w:r>
          <w:r>
            <w:rPr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fldChar w:fldCharType="end"/>
          </w:r>
        </w:p>
        <w:p w14:paraId="07F70035">
          <w:pPr>
            <w:pStyle w:val="10"/>
            <w:tabs>
              <w:tab w:val="right" w:leader="dot" w:pos="8306"/>
            </w:tabs>
            <w:rPr>
              <w:sz w:val="28"/>
              <w:szCs w:val="28"/>
            </w:rPr>
          </w:pP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fldChar w:fldCharType="begin"/>
          </w: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instrText xml:space="preserve"> HYPERLINK \l _Toc8667 </w:instrText>
          </w: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fldChar w:fldCharType="separate"/>
          </w:r>
          <w:r>
            <w:rPr>
              <w:rFonts w:hint="eastAsia"/>
              <w:sz w:val="28"/>
              <w:szCs w:val="28"/>
              <w:lang w:eastAsia="zh-CN"/>
            </w:rPr>
            <w:t>（</w:t>
          </w:r>
          <w:r>
            <w:rPr>
              <w:rFonts w:hint="eastAsia"/>
              <w:sz w:val="28"/>
              <w:szCs w:val="28"/>
            </w:rPr>
            <w:t>1）进入辅修选课时间设置页面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_Toc8667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6</w:t>
          </w:r>
          <w:r>
            <w:rPr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fldChar w:fldCharType="end"/>
          </w:r>
        </w:p>
        <w:p w14:paraId="64D99C04">
          <w:pPr>
            <w:pStyle w:val="10"/>
            <w:tabs>
              <w:tab w:val="right" w:leader="dot" w:pos="8306"/>
            </w:tabs>
            <w:rPr>
              <w:sz w:val="28"/>
              <w:szCs w:val="28"/>
            </w:rPr>
          </w:pP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fldChar w:fldCharType="begin"/>
          </w: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instrText xml:space="preserve"> HYPERLINK \l _Toc31102 </w:instrText>
          </w: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fldChar w:fldCharType="separate"/>
          </w:r>
          <w:r>
            <w:rPr>
              <w:rFonts w:hint="eastAsia"/>
              <w:sz w:val="28"/>
              <w:szCs w:val="28"/>
              <w:lang w:eastAsia="zh-CN"/>
            </w:rPr>
            <w:t>（2）</w:t>
          </w:r>
          <w:r>
            <w:rPr>
              <w:rFonts w:hint="eastAsia"/>
              <w:sz w:val="28"/>
              <w:szCs w:val="28"/>
              <w:lang w:val="en-US" w:eastAsia="zh-CN"/>
            </w:rPr>
            <w:t>院系</w:t>
          </w:r>
          <w:r>
            <w:rPr>
              <w:rFonts w:hint="eastAsia"/>
              <w:sz w:val="28"/>
              <w:szCs w:val="28"/>
              <w:lang w:eastAsia="zh-CN"/>
            </w:rPr>
            <w:t>设置辅修选课时间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_Toc31102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7</w:t>
          </w:r>
          <w:r>
            <w:rPr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fldChar w:fldCharType="end"/>
          </w:r>
        </w:p>
        <w:p w14:paraId="56D24AC5">
          <w:pPr>
            <w:pStyle w:val="10"/>
            <w:tabs>
              <w:tab w:val="right" w:leader="dot" w:pos="8306"/>
            </w:tabs>
          </w:pP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fldChar w:fldCharType="begin"/>
          </w: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instrText xml:space="preserve"> HYPERLINK \l _Toc29761 </w:instrText>
          </w: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fldChar w:fldCharType="separate"/>
          </w:r>
          <w:r>
            <w:rPr>
              <w:rFonts w:hint="eastAsia"/>
              <w:sz w:val="28"/>
              <w:szCs w:val="28"/>
            </w:rPr>
            <w:t>3．辅修选课结果查询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_Toc29761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8</w:t>
          </w:r>
          <w:r>
            <w:rPr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fldChar w:fldCharType="end"/>
          </w:r>
        </w:p>
        <w:p w14:paraId="40746F4E">
          <w:pPr>
            <w:pStyle w:val="10"/>
            <w:tabs>
              <w:tab w:val="right" w:leader="dot" w:pos="8296"/>
            </w:tabs>
            <w:rPr>
              <w:rFonts w:ascii="仿宋" w:hAnsi="仿宋" w:eastAsia="仿宋" w:cs="仿宋"/>
              <w:b/>
              <w:bCs/>
              <w:sz w:val="32"/>
              <w:szCs w:val="32"/>
              <w:lang w:val="zh-CN"/>
            </w:rPr>
          </w:pPr>
          <w:r>
            <w:rPr>
              <w:rFonts w:hint="eastAsia" w:ascii="仿宋" w:hAnsi="仿宋" w:eastAsia="仿宋" w:cs="仿宋"/>
              <w:bCs/>
              <w:szCs w:val="28"/>
              <w:lang w:val="zh-CN"/>
            </w:rPr>
            <w:fldChar w:fldCharType="end"/>
          </w:r>
        </w:p>
      </w:sdtContent>
    </w:sdt>
    <w:p w14:paraId="351EAB4D">
      <w:pPr>
        <w:pStyle w:val="2"/>
        <w:spacing w:before="0" w:after="0"/>
        <w:rPr>
          <w:sz w:val="32"/>
          <w:szCs w:val="32"/>
        </w:rPr>
      </w:pPr>
      <w:bookmarkStart w:id="1" w:name="_Toc23733"/>
      <w:r>
        <w:rPr>
          <w:rFonts w:hint="eastAsia"/>
          <w:sz w:val="32"/>
          <w:szCs w:val="32"/>
        </w:rPr>
        <w:t>一、研究生课程</w:t>
      </w:r>
      <w:bookmarkEnd w:id="1"/>
    </w:p>
    <w:p w14:paraId="15096A28">
      <w:pPr>
        <w:pStyle w:val="2"/>
        <w:spacing w:before="0" w:after="0" w:line="360" w:lineRule="auto"/>
        <w:rPr>
          <w:sz w:val="32"/>
          <w:szCs w:val="32"/>
        </w:rPr>
      </w:pPr>
      <w:bookmarkStart w:id="2" w:name="_Toc17713"/>
      <w:r>
        <w:rPr>
          <w:rFonts w:hint="eastAsia"/>
          <w:sz w:val="32"/>
          <w:szCs w:val="32"/>
        </w:rPr>
        <w:t>1．设置研究生课程选课时间</w:t>
      </w:r>
      <w:bookmarkEnd w:id="2"/>
    </w:p>
    <w:p w14:paraId="6ED8876D">
      <w:pPr>
        <w:pStyle w:val="17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各院</w:t>
      </w:r>
      <w:r>
        <w:rPr>
          <w:rFonts w:hint="eastAsia"/>
          <w:sz w:val="28"/>
          <w:szCs w:val="28"/>
          <w:lang w:val="en-US" w:eastAsia="zh-CN"/>
        </w:rPr>
        <w:t>系</w:t>
      </w:r>
      <w:r>
        <w:rPr>
          <w:rFonts w:hint="eastAsia"/>
          <w:sz w:val="28"/>
          <w:szCs w:val="28"/>
        </w:rPr>
        <w:t>可设置本</w:t>
      </w:r>
      <w:r>
        <w:rPr>
          <w:rFonts w:hint="eastAsia"/>
          <w:sz w:val="28"/>
          <w:szCs w:val="28"/>
          <w:lang w:val="en-US" w:eastAsia="zh-CN"/>
        </w:rPr>
        <w:t>单位</w:t>
      </w:r>
      <w:r>
        <w:rPr>
          <w:rFonts w:hint="eastAsia"/>
          <w:sz w:val="28"/>
          <w:szCs w:val="28"/>
        </w:rPr>
        <w:t>学生选研究生课程的时间，所设置的选课时间需在学校选课时间内；如不另设本</w:t>
      </w:r>
      <w:r>
        <w:rPr>
          <w:rFonts w:hint="eastAsia"/>
          <w:sz w:val="28"/>
          <w:szCs w:val="28"/>
          <w:lang w:val="en-US" w:eastAsia="zh-CN"/>
        </w:rPr>
        <w:t>单位</w:t>
      </w:r>
      <w:r>
        <w:rPr>
          <w:rFonts w:hint="eastAsia"/>
          <w:sz w:val="28"/>
          <w:szCs w:val="28"/>
        </w:rPr>
        <w:t>的研究生课程选课时间，则按照学校的选课时间执行。研究生课程选课时间设置方法如图所示：</w:t>
      </w:r>
    </w:p>
    <w:p w14:paraId="11FC594C">
      <w:r>
        <w:drawing>
          <wp:inline distT="0" distB="0" distL="0" distR="0">
            <wp:extent cx="5274310" cy="1960245"/>
            <wp:effectExtent l="19050" t="19050" r="21590" b="20955"/>
            <wp:docPr id="13" name="图片 13" descr="F:\WeChat Files\wxid_wl5mttscmja321\FileStorage\Temp\17205843419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F:\WeChat Files\wxid_wl5mttscmja321\FileStorage\Temp\172058434191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6030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A4D28B7">
      <w:pPr>
        <w:pStyle w:val="2"/>
        <w:spacing w:before="0" w:after="0" w:line="360" w:lineRule="auto"/>
        <w:rPr>
          <w:sz w:val="32"/>
          <w:szCs w:val="32"/>
        </w:rPr>
      </w:pPr>
      <w:bookmarkStart w:id="3" w:name="_Toc3929"/>
      <w:r>
        <w:rPr>
          <w:rFonts w:hint="eastAsia"/>
          <w:sz w:val="32"/>
          <w:szCs w:val="32"/>
        </w:rPr>
        <w:t>2．研究生课程选课审批</w:t>
      </w:r>
      <w:bookmarkEnd w:id="3"/>
    </w:p>
    <w:p w14:paraId="2E1BD03B">
      <w:pPr>
        <w:pStyle w:val="17"/>
        <w:spacing w:line="360" w:lineRule="auto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部分研究生课程于选课第三、第四阶段面向三年级及以上本科生开放。学生可在教务系统选课菜单下【研究生课程】页面进行选课。研究生课程分为培养方案内课程和其他课程。</w:t>
      </w:r>
    </w:p>
    <w:p w14:paraId="16E6031D">
      <w:pPr>
        <w:pStyle w:val="2"/>
        <w:spacing w:before="0" w:after="0" w:line="360" w:lineRule="auto"/>
        <w:rPr>
          <w:sz w:val="32"/>
          <w:szCs w:val="32"/>
        </w:rPr>
      </w:pPr>
      <w:bookmarkStart w:id="4" w:name="_Toc2300"/>
      <w:r>
        <w:rPr>
          <w:rFonts w:hint="eastAsia"/>
          <w:sz w:val="32"/>
          <w:szCs w:val="32"/>
        </w:rPr>
        <w:t>（1）培养方案内课程</w:t>
      </w:r>
      <w:bookmarkEnd w:id="4"/>
    </w:p>
    <w:p w14:paraId="33C23864">
      <w:pPr>
        <w:pStyle w:val="17"/>
        <w:spacing w:line="360" w:lineRule="auto"/>
        <w:ind w:firstLine="560"/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在规定时间内，学生在选课界面中点击【选课】则立即选课成功，学生点击【退课】则可退课。一经选上，课程类别按培养方案的课程类别记录。如图所示：</w:t>
      </w:r>
    </w:p>
    <w:p w14:paraId="141F9D85">
      <w:pPr>
        <w:pStyle w:val="17"/>
        <w:ind w:firstLine="0" w:firstLineChars="0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0" distR="0">
            <wp:extent cx="5274310" cy="2768600"/>
            <wp:effectExtent l="19050" t="19050" r="21590" b="12700"/>
            <wp:docPr id="5" name="图片 5" descr="C:\Users\zheng\AppData\Local\Temp\WeChat Files\2d2d7ea54231a9cde14d3bfcefe0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\Users\zheng\AppData\Local\Temp\WeChat Files\2d2d7ea54231a9cde14d3bfcefe044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6912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65EFD7B">
      <w:pPr>
        <w:pStyle w:val="2"/>
        <w:spacing w:before="0" w:after="0"/>
        <w:rPr>
          <w:sz w:val="30"/>
          <w:szCs w:val="30"/>
        </w:rPr>
      </w:pPr>
      <w:bookmarkStart w:id="5" w:name="_Toc10991"/>
      <w:r>
        <w:rPr>
          <w:rFonts w:hint="eastAsia"/>
          <w:sz w:val="32"/>
          <w:szCs w:val="32"/>
        </w:rPr>
        <w:t>（2）其他课程</w:t>
      </w:r>
      <w:bookmarkEnd w:id="5"/>
    </w:p>
    <w:p w14:paraId="622700F2"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16" w:lineRule="auto"/>
        <w:textAlignment w:val="auto"/>
        <w:rPr>
          <w:rFonts w:hint="eastAsia"/>
          <w:lang w:val="en-US" w:eastAsia="zh-CN"/>
        </w:rPr>
      </w:pPr>
      <w:bookmarkStart w:id="6" w:name="_Toc4850"/>
      <w:r>
        <w:rPr>
          <w:rFonts w:hint="eastAsia"/>
          <w:lang w:val="en-US" w:eastAsia="zh-CN"/>
        </w:rPr>
        <w:t>①学生申请</w:t>
      </w:r>
      <w:bookmarkEnd w:id="6"/>
    </w:p>
    <w:p w14:paraId="12EB1302">
      <w:pPr>
        <w:shd w:val="clear" w:color="auto" w:fill="FFFFFF"/>
        <w:adjustRightInd w:val="0"/>
        <w:snapToGrid w:val="0"/>
        <w:spacing w:line="560" w:lineRule="exact"/>
        <w:ind w:firstLine="560" w:firstLineChars="200"/>
        <w:contextualSpacing/>
        <w:rPr>
          <w:rFonts w:hint="eastAsia" w:eastAsia="宋体"/>
          <w:lang w:eastAsia="zh-CN"/>
        </w:rPr>
      </w:pPr>
      <w:r>
        <w:rPr>
          <w:rFonts w:hint="eastAsia"/>
          <w:sz w:val="28"/>
          <w:szCs w:val="28"/>
          <w:lang w:val="en-US" w:eastAsia="zh-CN"/>
        </w:rPr>
        <w:t>对于</w:t>
      </w:r>
      <w:r>
        <w:rPr>
          <w:rFonts w:hint="eastAsia"/>
          <w:sz w:val="28"/>
          <w:szCs w:val="28"/>
        </w:rPr>
        <w:t>其他研究生课程，学生在规定时间内在选课页面点击【申请】</w:t>
      </w:r>
      <w:r>
        <w:rPr>
          <w:rFonts w:hint="eastAsia"/>
          <w:sz w:val="28"/>
          <w:szCs w:val="28"/>
          <w:lang w:eastAsia="zh-CN"/>
        </w:rPr>
        <w:t>。</w:t>
      </w:r>
      <w:r>
        <w:rPr>
          <w:rFonts w:hint="eastAsia"/>
          <w:sz w:val="28"/>
          <w:szCs w:val="28"/>
        </w:rPr>
        <w:t>如图所示：</w:t>
      </w:r>
    </w:p>
    <w:p w14:paraId="0C8E90B0">
      <w:r>
        <w:drawing>
          <wp:inline distT="0" distB="0" distL="0" distR="0">
            <wp:extent cx="5274310" cy="2670810"/>
            <wp:effectExtent l="19050" t="19050" r="21590" b="15240"/>
            <wp:docPr id="10" name="图片 10" descr="C:\Users\zheng\AppData\Local\Temp\WeChat Files\29d7b513d2f5d55558bed83fcbd5a4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C:\Users\zheng\AppData\Local\Temp\WeChat Files\29d7b513d2f5d55558bed83fcbd5a4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712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E967A70"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16" w:lineRule="auto"/>
        <w:textAlignment w:val="auto"/>
        <w:rPr>
          <w:rFonts w:hint="eastAsia"/>
          <w:lang w:val="en-US" w:eastAsia="zh-CN"/>
        </w:rPr>
      </w:pPr>
      <w:bookmarkStart w:id="7" w:name="_Toc16899"/>
      <w:r>
        <w:rPr>
          <w:rFonts w:hint="eastAsia"/>
          <w:lang w:val="en-US" w:eastAsia="zh-CN"/>
        </w:rPr>
        <w:t>②学生所在院系审核认定</w:t>
      </w:r>
      <w:bookmarkEnd w:id="7"/>
    </w:p>
    <w:p w14:paraId="3EB4E101">
      <w:pPr>
        <w:shd w:val="clear" w:color="auto" w:fill="FFFFFF"/>
        <w:adjustRightInd w:val="0"/>
        <w:snapToGrid w:val="0"/>
        <w:spacing w:line="560" w:lineRule="exact"/>
        <w:ind w:firstLine="560" w:firstLineChars="200"/>
        <w:contextualSpacing/>
        <w:rPr>
          <w:sz w:val="28"/>
          <w:szCs w:val="28"/>
        </w:rPr>
      </w:pPr>
      <w:r>
        <w:rPr>
          <w:rFonts w:hint="eastAsia"/>
          <w:sz w:val="28"/>
          <w:szCs w:val="28"/>
        </w:rPr>
        <w:t>学生提交申请后，学生所在院系根据培养方案的课程要求进行审核，可认定为“公选”、“专选”或“荣誉课程”。</w:t>
      </w:r>
    </w:p>
    <w:p w14:paraId="662BC99E">
      <w:pPr>
        <w:shd w:val="clear" w:color="auto" w:fill="FFFFFF"/>
        <w:adjustRightInd w:val="0"/>
        <w:snapToGrid w:val="0"/>
        <w:spacing w:line="560" w:lineRule="exact"/>
        <w:ind w:firstLine="560" w:firstLineChars="200"/>
        <w:contextualSpacing/>
        <w:rPr>
          <w:sz w:val="28"/>
          <w:szCs w:val="28"/>
        </w:rPr>
      </w:pPr>
      <w:r>
        <w:rPr>
          <w:rFonts w:hint="eastAsia"/>
          <w:sz w:val="28"/>
          <w:szCs w:val="28"/>
        </w:rPr>
        <w:t>审核路径1：登录统一门户，点击待办事宜，进入研究生课程管理系统，对学生所选课程进行审核认定。如图所示：</w:t>
      </w:r>
    </w:p>
    <w:p w14:paraId="5E8118AC">
      <w:pPr>
        <w:ind w:firstLine="560" w:firstLineChars="200"/>
        <w:rPr>
          <w:rFonts w:hint="eastAsia" w:eastAsia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-76200</wp:posOffset>
            </wp:positionH>
            <wp:positionV relativeFrom="page">
              <wp:posOffset>4115435</wp:posOffset>
            </wp:positionV>
            <wp:extent cx="5270500" cy="3276600"/>
            <wp:effectExtent l="19050" t="19050" r="25400" b="19050"/>
            <wp:wrapTopAndBottom/>
            <wp:docPr id="16" name="图片 16" descr="1689025985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168902598517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2766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-55245</wp:posOffset>
            </wp:positionH>
            <wp:positionV relativeFrom="paragraph">
              <wp:posOffset>27940</wp:posOffset>
            </wp:positionV>
            <wp:extent cx="5192395" cy="2765425"/>
            <wp:effectExtent l="9525" t="9525" r="17780" b="25400"/>
            <wp:wrapTopAndBottom/>
            <wp:docPr id="15" name="图片 15" descr="C:\Users\zheng\Documents\WeChat Files\wxid_wl5mttscmja321\FileStorage\Temp\16886963363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C:\Users\zheng\Documents\WeChat Files\wxid_wl5mttscmja321\FileStorage\Temp\168869633630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2395" cy="27654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 w:val="28"/>
          <w:szCs w:val="28"/>
        </w:rPr>
        <w:t>审核路径2：以“管理人员”身份用</w:t>
      </w:r>
      <w:r>
        <w:rPr>
          <w:sz w:val="28"/>
          <w:szCs w:val="28"/>
        </w:rPr>
        <w:t>NETID</w:t>
      </w:r>
      <w:r>
        <w:rPr>
          <w:rFonts w:hint="eastAsia"/>
          <w:sz w:val="28"/>
          <w:szCs w:val="28"/>
        </w:rPr>
        <w:t>登录研究生课程管理系统（</w:t>
      </w:r>
      <w:r>
        <w:fldChar w:fldCharType="begin"/>
      </w:r>
      <w:r>
        <w:instrText xml:space="preserve"> HYPERLINK "https://cms.sysu.edu.cn/" \l "/faculty" </w:instrText>
      </w:r>
      <w:r>
        <w:fldChar w:fldCharType="separate"/>
      </w:r>
      <w:r>
        <w:rPr>
          <w:rStyle w:val="14"/>
          <w:sz w:val="28"/>
          <w:szCs w:val="28"/>
        </w:rPr>
        <w:t>https://cms.sysu.edu.cn/#/faculty</w:t>
      </w:r>
      <w:r>
        <w:rPr>
          <w:rStyle w:val="14"/>
          <w:sz w:val="28"/>
          <w:szCs w:val="28"/>
        </w:rPr>
        <w:fldChar w:fldCharType="end"/>
      </w:r>
      <w:r>
        <w:rPr>
          <w:rFonts w:hint="eastAsia"/>
          <w:sz w:val="28"/>
          <w:szCs w:val="28"/>
        </w:rPr>
        <w:t>），点击“选课管理”菜单，进入课程审核页面。如图所示：</w:t>
      </w:r>
    </w:p>
    <w:p w14:paraId="546A1EB8"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16" w:lineRule="auto"/>
        <w:textAlignment w:val="auto"/>
        <w:rPr>
          <w:rFonts w:hint="eastAsia"/>
          <w:lang w:val="en-US" w:eastAsia="zh-CN"/>
        </w:rPr>
      </w:pPr>
      <w:bookmarkStart w:id="8" w:name="_Toc19824"/>
      <w:r>
        <w:rPr>
          <w:rFonts w:hint="eastAsia"/>
          <w:lang w:val="en-US"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13970</wp:posOffset>
            </wp:positionH>
            <wp:positionV relativeFrom="page">
              <wp:posOffset>3128645</wp:posOffset>
            </wp:positionV>
            <wp:extent cx="5219700" cy="1860550"/>
            <wp:effectExtent l="0" t="0" r="0" b="6350"/>
            <wp:wrapSquare wrapText="bothSides"/>
            <wp:docPr id="19" name="图片 19" descr="16890270059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168902700594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1860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6350</wp:posOffset>
            </wp:positionH>
            <wp:positionV relativeFrom="paragraph">
              <wp:posOffset>36830</wp:posOffset>
            </wp:positionV>
            <wp:extent cx="5270500" cy="2133600"/>
            <wp:effectExtent l="9525" t="9525" r="15875" b="9525"/>
            <wp:wrapSquare wrapText="bothSides"/>
            <wp:docPr id="18" name="图片 18" descr="16890269168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168902691686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133600"/>
                    </a:xfrm>
                    <a:prstGeom prst="rect">
                      <a:avLst/>
                    </a:prstGeom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t>③研究生课程开课单位审批</w:t>
      </w:r>
      <w:bookmarkEnd w:id="8"/>
    </w:p>
    <w:p w14:paraId="3FB33810">
      <w:pPr>
        <w:pStyle w:val="17"/>
        <w:ind w:firstLine="560"/>
        <w:rPr>
          <w:sz w:val="28"/>
          <w:szCs w:val="28"/>
        </w:rPr>
      </w:pPr>
      <w:r>
        <w:rPr>
          <w:rFonts w:hint="eastAsia" w:ascii="Times New Roman" w:hAnsi="Times New Roman" w:eastAsia="宋体"/>
          <w:sz w:val="28"/>
          <w:szCs w:val="28"/>
        </w:rPr>
        <w:t>学生申请的研究生课程经学生所在院系审核认定后，研究生课程开课单位对所选课程进行审批，审批通过才显示选课成功。</w:t>
      </w:r>
      <w:r>
        <w:rPr>
          <w:rFonts w:hint="eastAsia"/>
          <w:sz w:val="28"/>
          <w:szCs w:val="28"/>
        </w:rPr>
        <w:t>课程申请在未最终审批通过时，学生可取消申请，审批通过后则不予退课。如图所示：</w:t>
      </w:r>
    </w:p>
    <w:p w14:paraId="77EAD19C">
      <w:pPr>
        <w:pStyle w:val="17"/>
        <w:ind w:firstLine="0" w:firstLineChars="0"/>
        <w:rPr>
          <w:rFonts w:ascii="Times New Roman" w:hAnsi="Times New Roman" w:eastAsia="宋体"/>
          <w:sz w:val="28"/>
          <w:szCs w:val="28"/>
        </w:rPr>
      </w:pPr>
      <w:r>
        <w:rPr>
          <w:rFonts w:ascii="Times New Roman" w:hAnsi="Times New Roman" w:eastAsia="宋体"/>
          <w:sz w:val="28"/>
          <w:szCs w:val="28"/>
        </w:rPr>
        <w:drawing>
          <wp:inline distT="0" distB="0" distL="0" distR="0">
            <wp:extent cx="5274310" cy="2708275"/>
            <wp:effectExtent l="9525" t="9525" r="12065" b="25400"/>
            <wp:docPr id="1" name="图片 1" descr="C:\Users\zheng\AppData\Local\Temp\WeChat Files\c821e6f8a869deb5ad943d40de429a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zheng\AppData\Local\Temp\WeChat Files\c821e6f8a869deb5ad943d40de429a6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0842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B0FD35E">
      <w:pPr>
        <w:pStyle w:val="2"/>
        <w:spacing w:before="0" w:after="0"/>
        <w:rPr>
          <w:sz w:val="32"/>
          <w:szCs w:val="32"/>
        </w:rPr>
      </w:pPr>
      <w:bookmarkStart w:id="9" w:name="_Toc14203"/>
      <w:r>
        <w:rPr>
          <w:rFonts w:hint="eastAsia"/>
          <w:sz w:val="32"/>
          <w:szCs w:val="32"/>
        </w:rPr>
        <w:t>二、辅修课程</w:t>
      </w:r>
      <w:bookmarkEnd w:id="9"/>
    </w:p>
    <w:p w14:paraId="25796346">
      <w:pPr>
        <w:pStyle w:val="2"/>
        <w:spacing w:before="0" w:after="0"/>
        <w:rPr>
          <w:sz w:val="32"/>
          <w:szCs w:val="32"/>
        </w:rPr>
      </w:pPr>
      <w:bookmarkStart w:id="10" w:name="_Toc4566"/>
      <w:r>
        <w:rPr>
          <w:rFonts w:hint="eastAsia"/>
          <w:sz w:val="32"/>
          <w:szCs w:val="32"/>
        </w:rPr>
        <w:t>1．在排课中设置辅修选课</w:t>
      </w:r>
      <w:bookmarkEnd w:id="10"/>
    </w:p>
    <w:p w14:paraId="04156308">
      <w:pPr>
        <w:pStyle w:val="17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开放辅修选课的课程，须在排课模块中设置“是否辅修选课”为“是”，并设置辅修选课名额，同时须在修读对象中添加辅修学生的辅修专业，辅修学生才能选课。如图所示：</w:t>
      </w:r>
    </w:p>
    <w:p w14:paraId="7E4C85C9">
      <w:pPr>
        <w:pStyle w:val="17"/>
        <w:ind w:firstLine="0" w:firstLineChars="0"/>
      </w:pPr>
      <w:r>
        <w:drawing>
          <wp:inline distT="0" distB="0" distL="0" distR="0">
            <wp:extent cx="5274310" cy="2239645"/>
            <wp:effectExtent l="19050" t="19050" r="21590" b="27305"/>
            <wp:docPr id="3" name="图片 3" descr="C:\Users\zheng\Documents\WeChat Files\wxid_wl5mttscmja321\FileStorage\Temp\16878322963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zheng\Documents\WeChat Files\wxid_wl5mttscmja321\FileStorage\Temp\1687832296348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399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30B9833">
      <w:pPr>
        <w:pStyle w:val="17"/>
        <w:ind w:firstLine="0" w:firstLineChars="0"/>
      </w:pPr>
      <w:r>
        <w:drawing>
          <wp:inline distT="0" distB="0" distL="0" distR="0">
            <wp:extent cx="5274310" cy="2620010"/>
            <wp:effectExtent l="19050" t="19050" r="21590" b="27940"/>
            <wp:docPr id="4" name="图片 4" descr="C:\Users\zheng\Documents\WeChat Files\wxid_wl5mttscmja321\FileStorage\Temp\16878323561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zheng\Documents\WeChat Files\wxid_wl5mttscmja321\FileStorage\Temp\1687832356142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2050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7E04AD4">
      <w:pPr>
        <w:pStyle w:val="2"/>
        <w:spacing w:before="0" w:after="0"/>
        <w:rPr>
          <w:sz w:val="32"/>
          <w:szCs w:val="32"/>
        </w:rPr>
      </w:pPr>
      <w:bookmarkStart w:id="11" w:name="_Toc16635"/>
      <w:r>
        <w:rPr>
          <w:rFonts w:hint="eastAsia"/>
          <w:sz w:val="32"/>
          <w:szCs w:val="32"/>
        </w:rPr>
        <w:t>2．设置辅修选课时间</w:t>
      </w:r>
      <w:bookmarkEnd w:id="11"/>
    </w:p>
    <w:p w14:paraId="20BC00D6">
      <w:pPr>
        <w:pStyle w:val="2"/>
        <w:spacing w:before="0" w:after="0" w:line="360" w:lineRule="auto"/>
        <w:rPr>
          <w:rFonts w:hint="eastAsia"/>
          <w:sz w:val="32"/>
          <w:szCs w:val="32"/>
        </w:rPr>
      </w:pPr>
      <w:bookmarkStart w:id="12" w:name="_Toc8667"/>
      <w:r>
        <w:rPr>
          <w:rFonts w:hint="eastAsia"/>
          <w:sz w:val="32"/>
          <w:szCs w:val="32"/>
          <w:lang w:eastAsia="zh-CN"/>
        </w:rPr>
        <w:t>（</w:t>
      </w:r>
      <w:r>
        <w:rPr>
          <w:rFonts w:hint="eastAsia"/>
          <w:sz w:val="32"/>
          <w:szCs w:val="32"/>
        </w:rPr>
        <w:t>1）进入辅修选课时间设置页面</w:t>
      </w:r>
      <w:bookmarkEnd w:id="12"/>
    </w:p>
    <w:p w14:paraId="1E8F3F7B">
      <w:pPr>
        <w:pStyle w:val="17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登录教务系统后，在主页中点击“选课管理”图标，进入“辅修选课设置”界面</w:t>
      </w:r>
      <w:r>
        <w:rPr>
          <w:rFonts w:hint="eastAsia"/>
          <w:sz w:val="28"/>
          <w:szCs w:val="28"/>
          <w:lang w:eastAsia="zh-CN"/>
        </w:rPr>
        <w:t>。</w:t>
      </w:r>
      <w:r>
        <w:rPr>
          <w:rFonts w:hint="eastAsia"/>
          <w:sz w:val="28"/>
          <w:szCs w:val="28"/>
        </w:rPr>
        <w:t>如图所示：</w:t>
      </w:r>
    </w:p>
    <w:p w14:paraId="7D12A527">
      <w:pPr>
        <w:rPr>
          <w:sz w:val="28"/>
        </w:rPr>
      </w:pPr>
      <w:r>
        <w:drawing>
          <wp:inline distT="0" distB="0" distL="114300" distR="114300">
            <wp:extent cx="5236210" cy="2980055"/>
            <wp:effectExtent l="19050" t="19050" r="21590" b="10795"/>
            <wp:docPr id="180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图片 1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53768" cy="2990232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363C282">
      <w:pPr>
        <w:jc w:val="left"/>
      </w:pPr>
      <w:r>
        <w:drawing>
          <wp:inline distT="0" distB="0" distL="114300" distR="114300">
            <wp:extent cx="5287645" cy="1922145"/>
            <wp:effectExtent l="19050" t="19050" r="27305" b="2095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98677" cy="1926126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F7A44C6">
      <w:pPr>
        <w:pStyle w:val="2"/>
        <w:spacing w:before="0" w:after="0" w:line="360" w:lineRule="auto"/>
        <w:rPr>
          <w:rFonts w:hint="eastAsia"/>
          <w:sz w:val="32"/>
          <w:szCs w:val="32"/>
          <w:lang w:eastAsia="zh-CN"/>
        </w:rPr>
      </w:pPr>
      <w:bookmarkStart w:id="13" w:name="_Toc31102"/>
      <w:r>
        <w:rPr>
          <w:rFonts w:hint="eastAsia"/>
          <w:sz w:val="32"/>
          <w:szCs w:val="32"/>
          <w:lang w:eastAsia="zh-CN"/>
        </w:rPr>
        <w:t>（2）</w:t>
      </w:r>
      <w:r>
        <w:rPr>
          <w:rFonts w:hint="eastAsia"/>
          <w:sz w:val="32"/>
          <w:szCs w:val="32"/>
          <w:lang w:val="en-US" w:eastAsia="zh-CN"/>
        </w:rPr>
        <w:t>院系</w:t>
      </w:r>
      <w:r>
        <w:rPr>
          <w:rFonts w:hint="eastAsia"/>
          <w:sz w:val="32"/>
          <w:szCs w:val="32"/>
          <w:lang w:eastAsia="zh-CN"/>
        </w:rPr>
        <w:t>设置辅修选课时间</w:t>
      </w:r>
      <w:bookmarkEnd w:id="13"/>
    </w:p>
    <w:p w14:paraId="1A0F0D9A">
      <w:pPr>
        <w:pStyle w:val="17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参加辅修选课的院系可设置本院系的辅修选课时间，所设置的选课时间需在学校选课时间内；如不另设本</w:t>
      </w:r>
      <w:r>
        <w:rPr>
          <w:rFonts w:hint="eastAsia"/>
          <w:sz w:val="28"/>
          <w:szCs w:val="28"/>
          <w:lang w:val="en-US" w:eastAsia="zh-CN"/>
        </w:rPr>
        <w:t>单位</w:t>
      </w:r>
      <w:r>
        <w:rPr>
          <w:rFonts w:hint="eastAsia"/>
          <w:sz w:val="28"/>
          <w:szCs w:val="28"/>
        </w:rPr>
        <w:t>的辅修选课时间，则按照学校的选课时间执行。院系通知学生在设置的时间准时参与选课（选课方式为先选先得）。辅修选课时间设置方法如图所示：</w:t>
      </w:r>
    </w:p>
    <w:p w14:paraId="0BAFA324">
      <w:r>
        <w:drawing>
          <wp:inline distT="0" distB="0" distL="0" distR="0">
            <wp:extent cx="5274310" cy="2243455"/>
            <wp:effectExtent l="19050" t="19050" r="21590" b="23495"/>
            <wp:docPr id="2" name="图片 2" descr="C:\Users\zheng\Documents\WeChat Files\wxid_wl5mttscmja321\FileStorage\Temp\1687830310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zheng\Documents\WeChat Files\wxid_wl5mttscmja321\FileStorage\Temp\1687830310111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4383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79A3987"/>
    <w:p w14:paraId="06633A85">
      <w:r>
        <w:drawing>
          <wp:inline distT="0" distB="0" distL="114300" distR="114300">
            <wp:extent cx="5272405" cy="1675130"/>
            <wp:effectExtent l="0" t="0" r="10795" b="127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6751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029ED92">
      <w:pPr>
        <w:jc w:val="center"/>
        <w:rPr>
          <w:b/>
        </w:rPr>
      </w:pPr>
    </w:p>
    <w:p w14:paraId="348BA3E6">
      <w:pPr>
        <w:pStyle w:val="2"/>
        <w:spacing w:before="0" w:after="0"/>
        <w:rPr>
          <w:sz w:val="32"/>
          <w:szCs w:val="32"/>
        </w:rPr>
      </w:pPr>
      <w:bookmarkStart w:id="14" w:name="_Toc29761"/>
      <w:r>
        <w:rPr>
          <w:rFonts w:hint="eastAsia"/>
          <w:sz w:val="32"/>
          <w:szCs w:val="32"/>
        </w:rPr>
        <w:t>3．辅修选课结果查询</w:t>
      </w:r>
      <w:bookmarkEnd w:id="14"/>
    </w:p>
    <w:p w14:paraId="56A5D9CB">
      <w:pPr>
        <w:pStyle w:val="17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登录教务系统后，在主页中点击“选课管理”图标，进入“选课结果管理”界面，选择开课单位，可导出开课单位所开课的教学班的选课结果</w:t>
      </w:r>
      <w:r>
        <w:rPr>
          <w:rFonts w:hint="eastAsia"/>
          <w:sz w:val="28"/>
          <w:szCs w:val="28"/>
          <w:lang w:eastAsia="zh-CN"/>
        </w:rPr>
        <w:t>。</w:t>
      </w:r>
      <w:r>
        <w:rPr>
          <w:rFonts w:hint="eastAsia"/>
          <w:sz w:val="28"/>
          <w:szCs w:val="28"/>
        </w:rPr>
        <w:t>如图所示</w:t>
      </w:r>
      <w:r>
        <w:rPr>
          <w:rFonts w:hint="eastAsia"/>
          <w:sz w:val="28"/>
          <w:szCs w:val="28"/>
          <w:lang w:eastAsia="zh-CN"/>
        </w:rPr>
        <w:t>：</w:t>
      </w:r>
    </w:p>
    <w:p w14:paraId="4439756A">
      <w:pPr>
        <w:pStyle w:val="17"/>
        <w:ind w:firstLine="0" w:firstLineChars="0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0" distR="0">
            <wp:extent cx="5274310" cy="2440305"/>
            <wp:effectExtent l="19050" t="19050" r="21590" b="17145"/>
            <wp:docPr id="9" name="图片 9" descr="C:\Users\zheng\Documents\WeChat Files\wxid_wl5mttscmja321\FileStorage\Temp\16878332531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:\Users\zheng\Documents\WeChat Files\wxid_wl5mttscmja321\FileStorage\Temp\1687833253142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4031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1D90DB0">
      <w:pPr>
        <w:pStyle w:val="17"/>
        <w:ind w:firstLine="0"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导出的选课结果表格中，可以查看哪些学生属于辅修选课，如图所示：</w:t>
      </w:r>
    </w:p>
    <w:p w14:paraId="2695A14E">
      <w:pPr>
        <w:pStyle w:val="17"/>
        <w:ind w:firstLine="0" w:firstLineChars="0"/>
        <w:rPr>
          <w:sz w:val="28"/>
          <w:szCs w:val="28"/>
        </w:rPr>
      </w:pPr>
      <w:r>
        <w:drawing>
          <wp:inline distT="0" distB="0" distL="114300" distR="114300">
            <wp:extent cx="5265420" cy="3351530"/>
            <wp:effectExtent l="0" t="0" r="11430" b="1270"/>
            <wp:docPr id="1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351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125A816-C21C-49F3-9E35-0ADF835F1D5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7FC3D4C5-CDD9-49E9-819A-B25B4687219E}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22FC7DAE-010F-466F-91BA-793669812CC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2815FFAD-CBDD-4FC7-9FB6-B0854C82C8D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664820027"/>
    </w:sdtPr>
    <w:sdtContent>
      <w:p w14:paraId="7FB5734D">
        <w:pPr>
          <w:pStyle w:val="8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27E4CBCA">
    <w:pPr>
      <w:pStyle w:val="8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A03017"/>
    <w:multiLevelType w:val="multilevel"/>
    <w:tmpl w:val="3EA03017"/>
    <w:lvl w:ilvl="0" w:tentative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 w:tentative="0">
      <w:start w:val="1"/>
      <w:numFmt w:val="decimal"/>
      <w:lvlText w:val="%1.%2"/>
      <w:lvlJc w:val="left"/>
      <w:pPr>
        <w:ind w:left="567" w:hanging="283"/>
      </w:pPr>
      <w:rPr>
        <w:rFonts w:hint="eastAsia"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2" w:tentative="0">
      <w:start w:val="1"/>
      <w:numFmt w:val="decimal"/>
      <w:pStyle w:val="4"/>
      <w:lvlText w:val="%1.%2.%3"/>
      <w:lvlJc w:val="left"/>
      <w:pPr>
        <w:ind w:left="454" w:hanging="170"/>
      </w:pPr>
      <w:rPr>
        <w:rFonts w:hint="eastAsia"/>
        <w:b/>
        <w:sz w:val="28"/>
        <w:szCs w:val="28"/>
      </w:rPr>
    </w:lvl>
    <w:lvl w:ilvl="3" w:tentative="0">
      <w:start w:val="1"/>
      <w:numFmt w:val="decimal"/>
      <w:pStyle w:val="5"/>
      <w:lvlText w:val="%1.%2.%3.%4"/>
      <w:lvlJc w:val="left"/>
      <w:pPr>
        <w:ind w:left="567" w:hanging="227"/>
      </w:pPr>
      <w:rPr>
        <w:rFonts w:hint="default" w:ascii="Times New Roman" w:hAnsi="Times New Roman" w:cs="Times New Roman"/>
        <w:b/>
        <w:sz w:val="28"/>
        <w:szCs w:val="28"/>
      </w:rPr>
    </w:lvl>
    <w:lvl w:ilvl="4" w:tentative="0">
      <w:start w:val="1"/>
      <w:numFmt w:val="decimal"/>
      <w:pStyle w:val="6"/>
      <w:isLgl/>
      <w:lvlText w:val="%1.%2.%3.%4.%5"/>
      <w:lvlJc w:val="left"/>
      <w:pPr>
        <w:ind w:left="284" w:firstLine="113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scene3d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</w:rPr>
    </w:lvl>
    <w:lvl w:ilvl="5" w:tentative="0">
      <w:start w:val="1"/>
      <w:numFmt w:val="bullet"/>
      <w:lvlText w:val=""/>
      <w:lvlJc w:val="left"/>
      <w:pPr>
        <w:ind w:left="3260" w:hanging="1134"/>
      </w:pPr>
      <w:rPr>
        <w:rFonts w:hint="default" w:ascii="Wingdings" w:hAnsi="Wingdings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position w:val="0"/>
        <w:u w:val="none"/>
        <w:vertAlign w:val="baseline"/>
        <w:lang w:bidi="zh-CN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scene3d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</w:rPr>
    </w:lvl>
    <w:lvl w:ilvl="6" w:tentative="0">
      <w:start w:val="1"/>
      <w:numFmt w:val="bullet"/>
      <w:lvlText w:val=""/>
      <w:lvlJc w:val="left"/>
      <w:pPr>
        <w:ind w:left="3827" w:hanging="1276"/>
      </w:pPr>
      <w:rPr>
        <w:rFonts w:hint="default" w:ascii="Wingdings" w:hAnsi="Wingdings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ZhNTllZjVjM2QyOGM3ZDdmODdkMThjOTBmODc0MzQifQ=="/>
    <w:docVar w:name="KSO_WPS_MARK_KEY" w:val="0d66f1a7-971a-46fd-bf06-c724f24a2cbf"/>
  </w:docVars>
  <w:rsids>
    <w:rsidRoot w:val="3FD69773"/>
    <w:rsid w:val="00014DFA"/>
    <w:rsid w:val="00030DFB"/>
    <w:rsid w:val="00035D12"/>
    <w:rsid w:val="00044AA9"/>
    <w:rsid w:val="00070B37"/>
    <w:rsid w:val="000A1B00"/>
    <w:rsid w:val="000B1843"/>
    <w:rsid w:val="000B665E"/>
    <w:rsid w:val="000D3849"/>
    <w:rsid w:val="000F58BB"/>
    <w:rsid w:val="001149E4"/>
    <w:rsid w:val="00116E89"/>
    <w:rsid w:val="001306A0"/>
    <w:rsid w:val="00140836"/>
    <w:rsid w:val="00157961"/>
    <w:rsid w:val="00170722"/>
    <w:rsid w:val="001966ED"/>
    <w:rsid w:val="001A2C7B"/>
    <w:rsid w:val="001B16CA"/>
    <w:rsid w:val="001D2DD3"/>
    <w:rsid w:val="002171D4"/>
    <w:rsid w:val="00223330"/>
    <w:rsid w:val="00232CD1"/>
    <w:rsid w:val="002B44DE"/>
    <w:rsid w:val="002C4BFD"/>
    <w:rsid w:val="002E1208"/>
    <w:rsid w:val="002E581B"/>
    <w:rsid w:val="002E7E9A"/>
    <w:rsid w:val="002F2AAF"/>
    <w:rsid w:val="003009B1"/>
    <w:rsid w:val="00300DC2"/>
    <w:rsid w:val="00327E49"/>
    <w:rsid w:val="00345FA2"/>
    <w:rsid w:val="00346417"/>
    <w:rsid w:val="003705C9"/>
    <w:rsid w:val="003A7CE0"/>
    <w:rsid w:val="003C2AD7"/>
    <w:rsid w:val="003D54AE"/>
    <w:rsid w:val="0042054A"/>
    <w:rsid w:val="00441A13"/>
    <w:rsid w:val="004637F9"/>
    <w:rsid w:val="004769B5"/>
    <w:rsid w:val="00482DC1"/>
    <w:rsid w:val="004B619F"/>
    <w:rsid w:val="004D00EC"/>
    <w:rsid w:val="004D1E39"/>
    <w:rsid w:val="004E28BD"/>
    <w:rsid w:val="004E29B4"/>
    <w:rsid w:val="004E724B"/>
    <w:rsid w:val="0051025E"/>
    <w:rsid w:val="00554E3E"/>
    <w:rsid w:val="00580C25"/>
    <w:rsid w:val="0059273F"/>
    <w:rsid w:val="005B5BD5"/>
    <w:rsid w:val="005D6ED4"/>
    <w:rsid w:val="005E4BCC"/>
    <w:rsid w:val="005F13FD"/>
    <w:rsid w:val="005F4AA3"/>
    <w:rsid w:val="00617156"/>
    <w:rsid w:val="00626017"/>
    <w:rsid w:val="00645425"/>
    <w:rsid w:val="006633DB"/>
    <w:rsid w:val="00670ECB"/>
    <w:rsid w:val="0067699F"/>
    <w:rsid w:val="00685D90"/>
    <w:rsid w:val="0069541D"/>
    <w:rsid w:val="00697816"/>
    <w:rsid w:val="006D3579"/>
    <w:rsid w:val="00702465"/>
    <w:rsid w:val="00703CC2"/>
    <w:rsid w:val="0070490B"/>
    <w:rsid w:val="00714A09"/>
    <w:rsid w:val="00720430"/>
    <w:rsid w:val="007216B9"/>
    <w:rsid w:val="00734BB2"/>
    <w:rsid w:val="00741A4F"/>
    <w:rsid w:val="007422B4"/>
    <w:rsid w:val="00760B3D"/>
    <w:rsid w:val="007A7529"/>
    <w:rsid w:val="007B26BD"/>
    <w:rsid w:val="007E04BC"/>
    <w:rsid w:val="007F2DAF"/>
    <w:rsid w:val="007F678F"/>
    <w:rsid w:val="0081707D"/>
    <w:rsid w:val="0082215B"/>
    <w:rsid w:val="00830151"/>
    <w:rsid w:val="0084030B"/>
    <w:rsid w:val="00861E9A"/>
    <w:rsid w:val="008A53EA"/>
    <w:rsid w:val="008B1F9C"/>
    <w:rsid w:val="008D24E9"/>
    <w:rsid w:val="008E4970"/>
    <w:rsid w:val="00920B99"/>
    <w:rsid w:val="00932889"/>
    <w:rsid w:val="0093421C"/>
    <w:rsid w:val="00972481"/>
    <w:rsid w:val="009A4DBA"/>
    <w:rsid w:val="009A50FB"/>
    <w:rsid w:val="009B1D5A"/>
    <w:rsid w:val="009C5931"/>
    <w:rsid w:val="009C5EA5"/>
    <w:rsid w:val="00A14B82"/>
    <w:rsid w:val="00A17366"/>
    <w:rsid w:val="00A71C63"/>
    <w:rsid w:val="00A7633A"/>
    <w:rsid w:val="00A9646F"/>
    <w:rsid w:val="00B065A3"/>
    <w:rsid w:val="00B07A0D"/>
    <w:rsid w:val="00B262D3"/>
    <w:rsid w:val="00B32A39"/>
    <w:rsid w:val="00B5193B"/>
    <w:rsid w:val="00B520EB"/>
    <w:rsid w:val="00B642D8"/>
    <w:rsid w:val="00B72FF2"/>
    <w:rsid w:val="00B8625E"/>
    <w:rsid w:val="00BD0C1A"/>
    <w:rsid w:val="00BD2E69"/>
    <w:rsid w:val="00BD42A5"/>
    <w:rsid w:val="00BF2F43"/>
    <w:rsid w:val="00BF68D2"/>
    <w:rsid w:val="00C26F30"/>
    <w:rsid w:val="00C375E5"/>
    <w:rsid w:val="00C957BE"/>
    <w:rsid w:val="00CB16C6"/>
    <w:rsid w:val="00CC3B21"/>
    <w:rsid w:val="00CC4384"/>
    <w:rsid w:val="00CF2022"/>
    <w:rsid w:val="00D065D2"/>
    <w:rsid w:val="00D4762F"/>
    <w:rsid w:val="00D74C91"/>
    <w:rsid w:val="00DB164A"/>
    <w:rsid w:val="00DB3E6F"/>
    <w:rsid w:val="00DD0801"/>
    <w:rsid w:val="00DF0904"/>
    <w:rsid w:val="00DF675F"/>
    <w:rsid w:val="00E00270"/>
    <w:rsid w:val="00E0407F"/>
    <w:rsid w:val="00E1129E"/>
    <w:rsid w:val="00E37F72"/>
    <w:rsid w:val="00E444D1"/>
    <w:rsid w:val="00E521AE"/>
    <w:rsid w:val="00E71B61"/>
    <w:rsid w:val="00E93F86"/>
    <w:rsid w:val="00EA471C"/>
    <w:rsid w:val="00EB0043"/>
    <w:rsid w:val="00EC0E55"/>
    <w:rsid w:val="00ED797F"/>
    <w:rsid w:val="00EE628F"/>
    <w:rsid w:val="00F0111B"/>
    <w:rsid w:val="00F4243A"/>
    <w:rsid w:val="00F43EF6"/>
    <w:rsid w:val="00F6210D"/>
    <w:rsid w:val="00F63A12"/>
    <w:rsid w:val="00F831AB"/>
    <w:rsid w:val="00F912FC"/>
    <w:rsid w:val="00FD1F63"/>
    <w:rsid w:val="05BB7379"/>
    <w:rsid w:val="0B6902FF"/>
    <w:rsid w:val="0B69243B"/>
    <w:rsid w:val="0D06419F"/>
    <w:rsid w:val="139917AD"/>
    <w:rsid w:val="17072A58"/>
    <w:rsid w:val="177E2D40"/>
    <w:rsid w:val="18CA0C5D"/>
    <w:rsid w:val="1A4618DE"/>
    <w:rsid w:val="1C11174A"/>
    <w:rsid w:val="1C146065"/>
    <w:rsid w:val="1C2464C3"/>
    <w:rsid w:val="23020011"/>
    <w:rsid w:val="24E011DB"/>
    <w:rsid w:val="2B001EDA"/>
    <w:rsid w:val="35447564"/>
    <w:rsid w:val="35660427"/>
    <w:rsid w:val="38591578"/>
    <w:rsid w:val="38981A6B"/>
    <w:rsid w:val="39D30BA7"/>
    <w:rsid w:val="3A7A0703"/>
    <w:rsid w:val="3AA61B78"/>
    <w:rsid w:val="3B663105"/>
    <w:rsid w:val="3FD69773"/>
    <w:rsid w:val="424A16AC"/>
    <w:rsid w:val="42985594"/>
    <w:rsid w:val="4B7E2A67"/>
    <w:rsid w:val="507D213E"/>
    <w:rsid w:val="526130AB"/>
    <w:rsid w:val="56905410"/>
    <w:rsid w:val="57945637"/>
    <w:rsid w:val="582C7CB7"/>
    <w:rsid w:val="58333592"/>
    <w:rsid w:val="586603B8"/>
    <w:rsid w:val="59F1769A"/>
    <w:rsid w:val="59FB3734"/>
    <w:rsid w:val="5FC708D1"/>
    <w:rsid w:val="60FE0BA9"/>
    <w:rsid w:val="683A6E76"/>
    <w:rsid w:val="69CE0BCF"/>
    <w:rsid w:val="6A9F199D"/>
    <w:rsid w:val="6D0C5CB8"/>
    <w:rsid w:val="6D2C0BD1"/>
    <w:rsid w:val="71C9770B"/>
    <w:rsid w:val="72C9548D"/>
    <w:rsid w:val="743D4DD1"/>
    <w:rsid w:val="7FFC5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1"/>
    <w:autoRedefine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3"/>
    <w:autoRedefine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autoRedefine/>
    <w:unhideWhenUsed/>
    <w:qFormat/>
    <w:uiPriority w:val="0"/>
    <w:pPr>
      <w:keepNext/>
      <w:keepLines/>
      <w:numPr>
        <w:ilvl w:val="2"/>
        <w:numId w:val="1"/>
      </w:numPr>
      <w:spacing w:before="120" w:after="120" w:line="416" w:lineRule="auto"/>
      <w:jc w:val="left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numPr>
        <w:ilvl w:val="3"/>
        <w:numId w:val="1"/>
      </w:numPr>
      <w:spacing w:before="120" w:after="120" w:line="376" w:lineRule="auto"/>
      <w:ind w:right="210" w:rightChars="100"/>
      <w:outlineLvl w:val="3"/>
    </w:pPr>
    <w:rPr>
      <w:rFonts w:ascii="Cambria" w:hAnsi="Cambria"/>
      <w:b/>
      <w:bCs/>
      <w:kern w:val="0"/>
      <w:sz w:val="28"/>
      <w:szCs w:val="28"/>
    </w:rPr>
  </w:style>
  <w:style w:type="paragraph" w:styleId="6">
    <w:name w:val="heading 5"/>
    <w:basedOn w:val="1"/>
    <w:next w:val="1"/>
    <w:unhideWhenUsed/>
    <w:qFormat/>
    <w:uiPriority w:val="0"/>
    <w:pPr>
      <w:keepNext/>
      <w:keepLines/>
      <w:numPr>
        <w:ilvl w:val="4"/>
        <w:numId w:val="1"/>
      </w:numPr>
      <w:spacing w:before="120" w:after="120" w:line="376" w:lineRule="auto"/>
      <w:ind w:right="210" w:rightChars="100"/>
      <w:jc w:val="left"/>
      <w:outlineLvl w:val="4"/>
    </w:pPr>
    <w:rPr>
      <w:b/>
      <w:bCs/>
      <w:sz w:val="28"/>
    </w:rPr>
  </w:style>
  <w:style w:type="character" w:default="1" w:styleId="13">
    <w:name w:val="Default Paragraph Font"/>
    <w:autoRedefine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alloon Text"/>
    <w:basedOn w:val="1"/>
    <w:link w:val="15"/>
    <w:qFormat/>
    <w:uiPriority w:val="0"/>
    <w:rPr>
      <w:sz w:val="18"/>
      <w:szCs w:val="18"/>
    </w:rPr>
  </w:style>
  <w:style w:type="paragraph" w:styleId="8">
    <w:name w:val="footer"/>
    <w:basedOn w:val="1"/>
    <w:link w:val="2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1"/>
    <w:next w:val="1"/>
    <w:autoRedefine/>
    <w:qFormat/>
    <w:uiPriority w:val="39"/>
  </w:style>
  <w:style w:type="paragraph" w:styleId="11">
    <w:name w:val="toc 2"/>
    <w:basedOn w:val="1"/>
    <w:next w:val="1"/>
    <w:autoRedefine/>
    <w:qFormat/>
    <w:uiPriority w:val="39"/>
    <w:pPr>
      <w:ind w:left="420" w:leftChars="200"/>
    </w:pPr>
  </w:style>
  <w:style w:type="character" w:styleId="14">
    <w:name w:val="Hyperlink"/>
    <w:basedOn w:val="13"/>
    <w:qFormat/>
    <w:uiPriority w:val="99"/>
    <w:rPr>
      <w:color w:val="0000FF"/>
      <w:u w:val="single"/>
    </w:rPr>
  </w:style>
  <w:style w:type="character" w:customStyle="1" w:styleId="15">
    <w:name w:val="批注框文本 字符"/>
    <w:basedOn w:val="13"/>
    <w:link w:val="7"/>
    <w:autoRedefine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paragraph" w:customStyle="1" w:styleId="16">
    <w:name w:val="l标题4"/>
    <w:basedOn w:val="5"/>
    <w:next w:val="1"/>
    <w:autoRedefine/>
    <w:qFormat/>
    <w:uiPriority w:val="0"/>
  </w:style>
  <w:style w:type="paragraph" w:customStyle="1" w:styleId="17">
    <w:name w:val="标准五号 Char"/>
    <w:basedOn w:val="1"/>
    <w:autoRedefine/>
    <w:qFormat/>
    <w:uiPriority w:val="0"/>
    <w:pPr>
      <w:ind w:firstLine="420" w:firstLineChars="200"/>
    </w:pPr>
    <w:rPr>
      <w:rFonts w:asciiTheme="minorEastAsia" w:hAnsiTheme="minorEastAsia" w:eastAsiaTheme="minorEastAsia"/>
      <w:szCs w:val="21"/>
    </w:rPr>
  </w:style>
  <w:style w:type="paragraph" w:customStyle="1" w:styleId="18">
    <w:name w:val="l标题5"/>
    <w:basedOn w:val="6"/>
    <w:next w:val="1"/>
    <w:autoRedefine/>
    <w:qFormat/>
    <w:uiPriority w:val="0"/>
  </w:style>
  <w:style w:type="character" w:customStyle="1" w:styleId="19">
    <w:name w:val="页眉 字符"/>
    <w:basedOn w:val="13"/>
    <w:link w:val="9"/>
    <w:autoRedefine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20">
    <w:name w:val="页脚 字符"/>
    <w:basedOn w:val="13"/>
    <w:link w:val="8"/>
    <w:autoRedefine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21">
    <w:name w:val="标题 1 字符"/>
    <w:basedOn w:val="13"/>
    <w:link w:val="2"/>
    <w:autoRedefine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customStyle="1" w:styleId="22">
    <w:name w:val="TOC 标题1"/>
    <w:basedOn w:val="2"/>
    <w:next w:val="1"/>
    <w:autoRedefine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E75B6" w:themeColor="accent1" w:themeShade="BF"/>
      <w:kern w:val="0"/>
      <w:sz w:val="32"/>
      <w:szCs w:val="32"/>
    </w:rPr>
  </w:style>
  <w:style w:type="character" w:customStyle="1" w:styleId="23">
    <w:name w:val="标题 2 字符"/>
    <w:basedOn w:val="13"/>
    <w:link w:val="3"/>
    <w:autoRedefine/>
    <w:qFormat/>
    <w:uiPriority w:val="0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paragraph" w:styleId="24">
    <w:name w:val="List Paragraph"/>
    <w:basedOn w:val="1"/>
    <w:autoRedefine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3" Type="http://schemas.openxmlformats.org/officeDocument/2006/relationships/fontTable" Target="fontTable.xml"/><Relationship Id="rId22" Type="http://schemas.openxmlformats.org/officeDocument/2006/relationships/customXml" Target="../customXml/item1.xml"/><Relationship Id="rId21" Type="http://schemas.openxmlformats.org/officeDocument/2006/relationships/numbering" Target="numbering.xml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746F8C-E37D-4B59-8713-7781C748E8D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1182</Words>
  <Characters>1218</Characters>
  <Lines>15</Lines>
  <Paragraphs>4</Paragraphs>
  <TotalTime>7</TotalTime>
  <ScaleCrop>false</ScaleCrop>
  <LinksUpToDate>false</LinksUpToDate>
  <CharactersWithSpaces>1262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2023-02-06T11:27:00Z</dcterms:created>
  <dc:creator>cyy</dc:creator>
  <cp:lastModifiedBy>LQY</cp:lastModifiedBy>
  <dcterms:modified xsi:type="dcterms:W3CDTF">2026-01-13T01:53:18Z</dcterms:modified>
  <cp:revision>130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9BEEA04AE64048D7BA5BFAC8399D2448</vt:lpwstr>
  </property>
  <property fmtid="{D5CDD505-2E9C-101B-9397-08002B2CF9AE}" pid="3" name="KSOProductBuildVer">
    <vt:lpwstr>2052-12.1.0.23542</vt:lpwstr>
  </property>
  <property fmtid="{D5CDD505-2E9C-101B-9397-08002B2CF9AE}" pid="4" name="KSOTemplateDocerSaveRecord">
    <vt:lpwstr>eyJoZGlkIjoiMjZlNWRhZjBiZDFjZWRiMmRlZTk5NWEzMjEzZjNkOWYiLCJ1c2VySWQiOiIyMzQ2MzQxMDIifQ==</vt:lpwstr>
  </property>
</Properties>
</file>